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6177"/>
      </w:tblGrid>
      <w:tr w:rsidR="007D1732" w:rsidRPr="00975F7B" w14:paraId="4FE5AFFD" w14:textId="77777777" w:rsidTr="00123FDE">
        <w:tc>
          <w:tcPr>
            <w:tcW w:w="2538" w:type="dxa"/>
            <w:vAlign w:val="center"/>
            <w:hideMark/>
          </w:tcPr>
          <w:p w14:paraId="0CD20441" w14:textId="77777777" w:rsidR="007D1732" w:rsidRPr="00975F7B" w:rsidRDefault="007D1732" w:rsidP="00123FDE">
            <w:pPr>
              <w:rPr>
                <w:rFonts w:ascii="Arial" w:hAnsi="Arial"/>
                <w:b/>
                <w:sz w:val="24"/>
                <w:szCs w:val="44"/>
              </w:rPr>
            </w:pPr>
            <w:r w:rsidRPr="00975F7B">
              <w:rPr>
                <w:rFonts w:ascii="Arial" w:hAnsi="Arial"/>
                <w:b/>
                <w:noProof/>
                <w:sz w:val="24"/>
                <w:szCs w:val="44"/>
              </w:rPr>
              <w:drawing>
                <wp:inline distT="0" distB="0" distL="0" distR="0" wp14:anchorId="6277CADE" wp14:editId="28AE8642">
                  <wp:extent cx="1333500" cy="981075"/>
                  <wp:effectExtent l="0" t="0" r="0" b="9525"/>
                  <wp:docPr id="276334895" name="Image 1" descr="Logo_aqjeh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aqjeh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  <w:vAlign w:val="center"/>
            <w:hideMark/>
          </w:tcPr>
          <w:p w14:paraId="6FF9DA4C" w14:textId="77777777" w:rsidR="007D1732" w:rsidRPr="00975F7B" w:rsidRDefault="007D1732" w:rsidP="00123FD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>Association québécoise de joueurs d’échecs handicapés visuels (AQJÉHV)</w:t>
            </w:r>
          </w:p>
          <w:p w14:paraId="5F3887A6" w14:textId="77777777" w:rsidR="007D1732" w:rsidRPr="00975F7B" w:rsidRDefault="007D1732" w:rsidP="00123FD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>206-2385 rue Henriette-Céré</w:t>
            </w:r>
          </w:p>
          <w:p w14:paraId="16B8D6D4" w14:textId="77777777" w:rsidR="007D1732" w:rsidRPr="00975F7B" w:rsidRDefault="007D1732" w:rsidP="00123FD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>Saint-Hubert (Québec) J3Y 9C6</w:t>
            </w:r>
          </w:p>
          <w:p w14:paraId="4C164F98" w14:textId="77777777" w:rsidR="007D1732" w:rsidRPr="00975F7B" w:rsidRDefault="007D1732" w:rsidP="00123FD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>Téléphone : (450) 904-1122</w:t>
            </w:r>
          </w:p>
          <w:p w14:paraId="0EF84620" w14:textId="77777777" w:rsidR="007D1732" w:rsidRPr="00975F7B" w:rsidRDefault="007D1732" w:rsidP="00123FD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 xml:space="preserve">Courriel : </w:t>
            </w:r>
            <w:hyperlink r:id="rId6" w:history="1">
              <w:r w:rsidRPr="00975F7B">
                <w:rPr>
                  <w:rStyle w:val="Lienhypertexte"/>
                  <w:rFonts w:ascii="Arial" w:hAnsi="Arial" w:cs="Arial"/>
                  <w:b/>
                  <w:color w:val="auto"/>
                  <w:sz w:val="24"/>
                  <w:szCs w:val="20"/>
                </w:rPr>
                <w:t>info@aqjehv.org</w:t>
              </w:r>
            </w:hyperlink>
          </w:p>
          <w:p w14:paraId="65A6ED2C" w14:textId="77777777" w:rsidR="007D1732" w:rsidRPr="00975F7B" w:rsidRDefault="007D1732" w:rsidP="00123FD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75F7B">
              <w:rPr>
                <w:rFonts w:ascii="Arial" w:hAnsi="Arial" w:cs="Arial"/>
                <w:b/>
                <w:sz w:val="24"/>
                <w:szCs w:val="20"/>
              </w:rPr>
              <w:t xml:space="preserve">Site Web : </w:t>
            </w:r>
            <w:hyperlink r:id="rId7" w:history="1">
              <w:r w:rsidRPr="00975F7B">
                <w:rPr>
                  <w:rStyle w:val="Lienhypertexte"/>
                  <w:rFonts w:ascii="Arial" w:hAnsi="Arial" w:cs="Arial"/>
                  <w:b/>
                  <w:color w:val="auto"/>
                  <w:sz w:val="24"/>
                  <w:szCs w:val="20"/>
                </w:rPr>
                <w:t>https://www.aqjehv.org/</w:t>
              </w:r>
            </w:hyperlink>
          </w:p>
        </w:tc>
      </w:tr>
    </w:tbl>
    <w:p w14:paraId="399D522E" w14:textId="77777777" w:rsidR="007D1732" w:rsidRPr="00975F7B" w:rsidRDefault="007D1732" w:rsidP="007D1732">
      <w:pPr>
        <w:ind w:left="708"/>
        <w:rPr>
          <w:rFonts w:ascii="Arial" w:hAnsi="Arial"/>
          <w:b/>
          <w:sz w:val="24"/>
          <w:lang w:val="en-CA"/>
        </w:rPr>
      </w:pPr>
    </w:p>
    <w:p w14:paraId="63667D4F" w14:textId="77777777" w:rsidR="007D1732" w:rsidRPr="00975F7B" w:rsidRDefault="007D1732" w:rsidP="007D1732">
      <w:pPr>
        <w:ind w:left="708"/>
        <w:rPr>
          <w:rFonts w:ascii="Arial" w:hAnsi="Arial"/>
          <w:b/>
          <w:sz w:val="24"/>
          <w:lang w:val="en-CA"/>
        </w:rPr>
      </w:pPr>
    </w:p>
    <w:p w14:paraId="6DE22E4A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1916D0FC" w14:textId="0F6780E7" w:rsidR="007D1732" w:rsidRPr="00975F7B" w:rsidRDefault="007D1732" w:rsidP="007D1732">
      <w:pPr>
        <w:pStyle w:val="Titre1"/>
        <w:jc w:val="center"/>
        <w:rPr>
          <w:rFonts w:ascii="Arial" w:hAnsi="Arial"/>
          <w:b/>
          <w:bCs/>
          <w:color w:val="auto"/>
          <w:sz w:val="32"/>
        </w:rPr>
      </w:pPr>
      <w:r w:rsidRPr="00975F7B">
        <w:rPr>
          <w:rFonts w:ascii="Arial" w:hAnsi="Arial"/>
          <w:b/>
          <w:bCs/>
          <w:color w:val="auto"/>
          <w:sz w:val="32"/>
        </w:rPr>
        <w:t>Rapport d’activités 202</w:t>
      </w:r>
      <w:r>
        <w:rPr>
          <w:rFonts w:ascii="Arial" w:hAnsi="Arial"/>
          <w:b/>
          <w:bCs/>
          <w:color w:val="auto"/>
          <w:sz w:val="32"/>
        </w:rPr>
        <w:t>5</w:t>
      </w:r>
      <w:r w:rsidRPr="00975F7B">
        <w:rPr>
          <w:rFonts w:ascii="Arial" w:hAnsi="Arial"/>
          <w:b/>
          <w:bCs/>
          <w:color w:val="auto"/>
          <w:sz w:val="32"/>
        </w:rPr>
        <w:t>-202</w:t>
      </w:r>
      <w:r>
        <w:rPr>
          <w:rFonts w:ascii="Arial" w:hAnsi="Arial"/>
          <w:b/>
          <w:bCs/>
          <w:color w:val="auto"/>
          <w:sz w:val="32"/>
        </w:rPr>
        <w:t>6</w:t>
      </w:r>
    </w:p>
    <w:p w14:paraId="1B5C1004" w14:textId="77777777" w:rsidR="007D1732" w:rsidRDefault="007D1732" w:rsidP="007D1732">
      <w:pPr>
        <w:rPr>
          <w:rFonts w:ascii="Arial" w:hAnsi="Arial"/>
          <w:sz w:val="24"/>
        </w:rPr>
      </w:pPr>
    </w:p>
    <w:p w14:paraId="32B5F97B" w14:textId="77777777" w:rsidR="00095175" w:rsidRPr="00975F7B" w:rsidRDefault="00095175" w:rsidP="007D1732">
      <w:pPr>
        <w:rPr>
          <w:rFonts w:ascii="Arial" w:hAnsi="Arial"/>
          <w:sz w:val="24"/>
        </w:rPr>
      </w:pPr>
    </w:p>
    <w:p w14:paraId="4A653C15" w14:textId="67B9F1EE" w:rsidR="00073C8F" w:rsidRDefault="000C1610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Depuis notre dernier rapport annuel, l’événement le plus important survenu à l’AQJÉHV est sans aucun doute l’</w:t>
      </w:r>
      <w:r w:rsidR="00154157">
        <w:rPr>
          <w:rFonts w:ascii="Arial" w:hAnsi="Arial"/>
          <w:sz w:val="24"/>
        </w:rPr>
        <w:t>obtention</w:t>
      </w:r>
      <w:r>
        <w:rPr>
          <w:rFonts w:ascii="Arial" w:hAnsi="Arial"/>
          <w:sz w:val="24"/>
        </w:rPr>
        <w:t>, en août 2025, du statut de représentant officiel du Canada à l’international Braille Chess Association (IBCA).</w:t>
      </w:r>
      <w:r w:rsidR="00073C8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Autrement, l’année 2025-2026 a été caractérisée par </w:t>
      </w:r>
      <w:r w:rsidR="00073C8F">
        <w:rPr>
          <w:rFonts w:ascii="Arial" w:hAnsi="Arial"/>
          <w:sz w:val="24"/>
        </w:rPr>
        <w:t>une grande stabilité dans la poursuite de nos activités.</w:t>
      </w:r>
    </w:p>
    <w:p w14:paraId="3817B9BE" w14:textId="77777777" w:rsidR="00235243" w:rsidRPr="00975F7B" w:rsidRDefault="00235243" w:rsidP="007D1732">
      <w:pPr>
        <w:rPr>
          <w:rFonts w:ascii="Arial" w:hAnsi="Arial"/>
          <w:sz w:val="24"/>
        </w:rPr>
      </w:pPr>
    </w:p>
    <w:p w14:paraId="0C6E68E1" w14:textId="77777777" w:rsidR="007D1732" w:rsidRPr="00975F7B" w:rsidRDefault="007D1732" w:rsidP="007D1732">
      <w:pPr>
        <w:pStyle w:val="Titre2"/>
        <w:rPr>
          <w:rFonts w:ascii="Arial" w:hAnsi="Arial"/>
          <w:b/>
          <w:color w:val="auto"/>
          <w:sz w:val="28"/>
        </w:rPr>
      </w:pPr>
      <w:r w:rsidRPr="00975F7B">
        <w:rPr>
          <w:rFonts w:ascii="Arial" w:hAnsi="Arial"/>
          <w:b/>
          <w:color w:val="auto"/>
          <w:sz w:val="28"/>
        </w:rPr>
        <w:t>Vie associative</w:t>
      </w:r>
    </w:p>
    <w:p w14:paraId="02BA3A56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47BA62D0" w14:textId="77777777" w:rsidR="00073C8F" w:rsidRDefault="007D1732" w:rsidP="007D1732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>Le Conseil d’administration de l’AQJÉHV a tenu 7 réunions</w:t>
      </w:r>
      <w:r w:rsidR="00FD5465">
        <w:rPr>
          <w:rFonts w:ascii="Arial" w:hAnsi="Arial"/>
          <w:sz w:val="24"/>
        </w:rPr>
        <w:t xml:space="preserve"> au cours de l</w:t>
      </w:r>
      <w:r w:rsidR="00E31831">
        <w:rPr>
          <w:rFonts w:ascii="Arial" w:hAnsi="Arial"/>
          <w:sz w:val="24"/>
        </w:rPr>
        <w:t xml:space="preserve">a dernière </w:t>
      </w:r>
      <w:r w:rsidR="00FD5465">
        <w:rPr>
          <w:rFonts w:ascii="Arial" w:hAnsi="Arial"/>
          <w:sz w:val="24"/>
        </w:rPr>
        <w:t xml:space="preserve">année. Il était </w:t>
      </w:r>
      <w:r w:rsidR="00575A0F">
        <w:rPr>
          <w:rFonts w:ascii="Arial" w:hAnsi="Arial"/>
          <w:sz w:val="24"/>
        </w:rPr>
        <w:t>composé</w:t>
      </w:r>
      <w:r w:rsidR="00FD5465">
        <w:rPr>
          <w:rFonts w:ascii="Arial" w:hAnsi="Arial"/>
          <w:sz w:val="24"/>
        </w:rPr>
        <w:t xml:space="preserve"> des quatre personnes suivantes : Mathieu Rochette, président, responsable des cours d’échecs et des relations avec l’IBCA; Michelle Brulé, vice-présidente, responsable des communications et du site Web; Colette Blanchard, secrétaire; André Vincent, trésorier et registraire.</w:t>
      </w:r>
      <w:r w:rsidR="00073C8F">
        <w:rPr>
          <w:rFonts w:ascii="Arial" w:hAnsi="Arial"/>
          <w:sz w:val="24"/>
        </w:rPr>
        <w:t xml:space="preserve"> Toutes nos réunions se sont déroulées par conférence téléphonique.</w:t>
      </w:r>
    </w:p>
    <w:p w14:paraId="2700A9AD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70D23E7E" w14:textId="77777777" w:rsidR="00FD5465" w:rsidRDefault="007D1732" w:rsidP="007D1732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 xml:space="preserve">Au 31 mars 2025, notre Association comptait 32 membres en règle, dont 1 au Nouveau-Brunswick, 2 en Ontario et </w:t>
      </w:r>
      <w:r w:rsidR="00FD5465">
        <w:rPr>
          <w:rFonts w:ascii="Arial" w:hAnsi="Arial"/>
          <w:sz w:val="24"/>
        </w:rPr>
        <w:t>5</w:t>
      </w:r>
      <w:r w:rsidRPr="00975F7B">
        <w:rPr>
          <w:rFonts w:ascii="Arial" w:hAnsi="Arial"/>
          <w:sz w:val="24"/>
        </w:rPr>
        <w:t xml:space="preserve"> en France. </w:t>
      </w:r>
    </w:p>
    <w:p w14:paraId="6875A3F3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041F9379" w14:textId="77777777" w:rsidR="007D1732" w:rsidRPr="00975F7B" w:rsidRDefault="007D1732" w:rsidP="007D1732">
      <w:pPr>
        <w:pStyle w:val="Titre2"/>
        <w:rPr>
          <w:rFonts w:ascii="Arial" w:hAnsi="Arial"/>
          <w:b/>
          <w:color w:val="auto"/>
          <w:sz w:val="28"/>
        </w:rPr>
      </w:pPr>
      <w:r w:rsidRPr="00975F7B">
        <w:rPr>
          <w:rFonts w:ascii="Arial" w:hAnsi="Arial"/>
          <w:b/>
          <w:color w:val="auto"/>
          <w:sz w:val="28"/>
        </w:rPr>
        <w:lastRenderedPageBreak/>
        <w:t>Activités échiquéennes</w:t>
      </w:r>
    </w:p>
    <w:p w14:paraId="4A69358A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4137CBE5" w14:textId="77777777" w:rsidR="007D1732" w:rsidRPr="00975F7B" w:rsidRDefault="007D1732" w:rsidP="007D1732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Cours d’échecs :</w:t>
      </w:r>
    </w:p>
    <w:p w14:paraId="1495E517" w14:textId="77777777" w:rsidR="007D1732" w:rsidRDefault="007D1732" w:rsidP="007D1732">
      <w:pPr>
        <w:rPr>
          <w:rFonts w:ascii="Arial" w:hAnsi="Arial"/>
          <w:sz w:val="24"/>
        </w:rPr>
      </w:pPr>
    </w:p>
    <w:p w14:paraId="345E7BB1" w14:textId="3A99B656" w:rsidR="00E91EB9" w:rsidRDefault="008F6CE9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Après la fermeture de Skype</w:t>
      </w:r>
      <w:r w:rsidR="00E31831">
        <w:rPr>
          <w:rFonts w:ascii="Arial" w:hAnsi="Arial"/>
          <w:sz w:val="24"/>
        </w:rPr>
        <w:t xml:space="preserve"> au printemps 2025</w:t>
      </w:r>
      <w:r>
        <w:rPr>
          <w:rFonts w:ascii="Arial" w:hAnsi="Arial"/>
          <w:sz w:val="24"/>
        </w:rPr>
        <w:t xml:space="preserve">, nous avons migré sur </w:t>
      </w:r>
      <w:r w:rsidR="00154157">
        <w:rPr>
          <w:rFonts w:ascii="Arial" w:hAnsi="Arial"/>
          <w:sz w:val="24"/>
        </w:rPr>
        <w:t>Dise</w:t>
      </w:r>
      <w:r>
        <w:rPr>
          <w:rFonts w:ascii="Arial" w:hAnsi="Arial"/>
          <w:sz w:val="24"/>
        </w:rPr>
        <w:t xml:space="preserve"> </w:t>
      </w:r>
      <w:r w:rsidR="00E31831">
        <w:rPr>
          <w:rFonts w:ascii="Arial" w:hAnsi="Arial"/>
          <w:sz w:val="24"/>
        </w:rPr>
        <w:t xml:space="preserve">comme plateforme de diffusion et d’enregistrement pour l’ensemble de nos formations. </w:t>
      </w:r>
      <w:r w:rsidR="007D1732" w:rsidRPr="00975F7B">
        <w:rPr>
          <w:rFonts w:ascii="Arial" w:hAnsi="Arial"/>
          <w:sz w:val="24"/>
        </w:rPr>
        <w:t xml:space="preserve">Depuis la dernière Assemblée annuelle, </w:t>
      </w:r>
      <w:r w:rsidR="00E91EB9">
        <w:rPr>
          <w:rFonts w:ascii="Arial" w:hAnsi="Arial"/>
          <w:sz w:val="24"/>
        </w:rPr>
        <w:t xml:space="preserve">plus de vingt cours </w:t>
      </w:r>
      <w:r w:rsidR="007D1732" w:rsidRPr="00975F7B">
        <w:rPr>
          <w:rFonts w:ascii="Arial" w:hAnsi="Arial"/>
          <w:sz w:val="24"/>
        </w:rPr>
        <w:t>ont été dispensés</w:t>
      </w:r>
      <w:r w:rsidR="00E91EB9">
        <w:rPr>
          <w:rFonts w:ascii="Arial" w:hAnsi="Arial"/>
          <w:sz w:val="24"/>
        </w:rPr>
        <w:t xml:space="preserve"> en direct au niveau débutant</w:t>
      </w:r>
      <w:r w:rsidR="007D1732" w:rsidRPr="00975F7B">
        <w:rPr>
          <w:rFonts w:ascii="Arial" w:hAnsi="Arial"/>
          <w:sz w:val="24"/>
        </w:rPr>
        <w:t xml:space="preserve">, </w:t>
      </w:r>
      <w:r w:rsidR="00E91EB9">
        <w:rPr>
          <w:rFonts w:ascii="Arial" w:hAnsi="Arial"/>
          <w:sz w:val="24"/>
        </w:rPr>
        <w:t xml:space="preserve">et autant au niveau intermédiaire. La session hiver 2026 se terminera sous peu. </w:t>
      </w:r>
      <w:r w:rsidR="00575A0F">
        <w:rPr>
          <w:rFonts w:ascii="Arial" w:hAnsi="Arial"/>
          <w:sz w:val="24"/>
        </w:rPr>
        <w:t xml:space="preserve">En tout, </w:t>
      </w:r>
      <w:r w:rsidR="00562029">
        <w:rPr>
          <w:rFonts w:ascii="Arial" w:hAnsi="Arial"/>
          <w:sz w:val="24"/>
        </w:rPr>
        <w:t xml:space="preserve">plus de </w:t>
      </w:r>
      <w:r w:rsidR="00575A0F">
        <w:rPr>
          <w:rFonts w:ascii="Arial" w:hAnsi="Arial"/>
          <w:sz w:val="24"/>
        </w:rPr>
        <w:t xml:space="preserve">cinquante </w:t>
      </w:r>
      <w:r w:rsidR="00562029">
        <w:rPr>
          <w:rFonts w:ascii="Arial" w:hAnsi="Arial"/>
          <w:sz w:val="24"/>
        </w:rPr>
        <w:t>cours pour débutants s</w:t>
      </w:r>
      <w:r w:rsidR="00E91EB9">
        <w:rPr>
          <w:rFonts w:ascii="Arial" w:hAnsi="Arial"/>
          <w:sz w:val="24"/>
        </w:rPr>
        <w:t xml:space="preserve">ont </w:t>
      </w:r>
      <w:r w:rsidR="00575A0F">
        <w:rPr>
          <w:rFonts w:ascii="Arial" w:hAnsi="Arial"/>
          <w:sz w:val="24"/>
        </w:rPr>
        <w:t>maintenant</w:t>
      </w:r>
      <w:r w:rsidR="00E91EB9">
        <w:rPr>
          <w:rFonts w:ascii="Arial" w:hAnsi="Arial"/>
          <w:sz w:val="24"/>
        </w:rPr>
        <w:t xml:space="preserve"> disponibles en différé sur notre site Web,</w:t>
      </w:r>
      <w:r w:rsidR="00562029">
        <w:rPr>
          <w:rFonts w:ascii="Arial" w:hAnsi="Arial"/>
          <w:sz w:val="24"/>
        </w:rPr>
        <w:t xml:space="preserve"> et autant pour</w:t>
      </w:r>
      <w:r w:rsidR="00E91EB9">
        <w:rPr>
          <w:rFonts w:ascii="Arial" w:hAnsi="Arial"/>
          <w:sz w:val="24"/>
        </w:rPr>
        <w:t xml:space="preserve"> </w:t>
      </w:r>
      <w:r w:rsidR="00562029">
        <w:rPr>
          <w:rFonts w:ascii="Arial" w:hAnsi="Arial"/>
          <w:sz w:val="24"/>
        </w:rPr>
        <w:t xml:space="preserve">les joueurs de niveau intermédiaire, </w:t>
      </w:r>
      <w:r w:rsidR="00E91EB9">
        <w:rPr>
          <w:rFonts w:ascii="Arial" w:hAnsi="Arial"/>
          <w:sz w:val="24"/>
        </w:rPr>
        <w:t>de sorte que tous les membres de l’AQJÉHV peuvent en profiter à leur convenance.</w:t>
      </w:r>
    </w:p>
    <w:p w14:paraId="0321E860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392F8FB8" w14:textId="6388A4CA" w:rsidR="00F24911" w:rsidRDefault="00F24911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Donateurs corporatifs pour les cours de niveau intermédiaire :</w:t>
      </w:r>
    </w:p>
    <w:p w14:paraId="689AA6CA" w14:textId="5C4EDF65" w:rsidR="00F24911" w:rsidRPr="00F24911" w:rsidRDefault="00F24911" w:rsidP="00F24911">
      <w:pPr>
        <w:numPr>
          <w:ilvl w:val="0"/>
          <w:numId w:val="1"/>
        </w:numPr>
        <w:rPr>
          <w:rFonts w:ascii="Arial" w:hAnsi="Arial"/>
          <w:sz w:val="24"/>
        </w:rPr>
      </w:pPr>
      <w:r w:rsidRPr="00F24911">
        <w:rPr>
          <w:rFonts w:ascii="Arial" w:hAnsi="Arial"/>
          <w:b/>
          <w:bCs/>
          <w:sz w:val="24"/>
        </w:rPr>
        <w:t>Club Lions de Boucherville</w:t>
      </w:r>
      <w:r w:rsidRPr="00F24911">
        <w:rPr>
          <w:rFonts w:ascii="Arial" w:hAnsi="Arial"/>
          <w:sz w:val="24"/>
        </w:rPr>
        <w:t> – 200 $,</w:t>
      </w:r>
      <w:r>
        <w:rPr>
          <w:rFonts w:ascii="Arial" w:hAnsi="Arial"/>
          <w:sz w:val="24"/>
        </w:rPr>
        <w:t xml:space="preserve"> </w:t>
      </w:r>
      <w:r w:rsidRPr="00F24911">
        <w:rPr>
          <w:rFonts w:ascii="Arial" w:hAnsi="Arial"/>
          <w:i/>
          <w:iCs/>
          <w:sz w:val="24"/>
        </w:rPr>
        <w:t>session hiver 2026</w:t>
      </w:r>
    </w:p>
    <w:p w14:paraId="0FFD8521" w14:textId="28AB31B9" w:rsidR="00F24911" w:rsidRPr="00F24911" w:rsidRDefault="00F24911" w:rsidP="00F24911">
      <w:pPr>
        <w:numPr>
          <w:ilvl w:val="0"/>
          <w:numId w:val="1"/>
        </w:numPr>
        <w:rPr>
          <w:rFonts w:ascii="Arial" w:hAnsi="Arial"/>
          <w:sz w:val="24"/>
        </w:rPr>
      </w:pPr>
      <w:r w:rsidRPr="00F24911">
        <w:rPr>
          <w:rFonts w:ascii="Arial" w:hAnsi="Arial"/>
          <w:b/>
          <w:bCs/>
          <w:sz w:val="24"/>
        </w:rPr>
        <w:t>Mouvement Desjardins (Caisse de Saint-Hubert)</w:t>
      </w:r>
      <w:r w:rsidRPr="00F24911">
        <w:rPr>
          <w:rFonts w:ascii="Arial" w:hAnsi="Arial"/>
          <w:sz w:val="24"/>
        </w:rPr>
        <w:t> – 100 $,</w:t>
      </w:r>
      <w:r>
        <w:rPr>
          <w:rFonts w:ascii="Arial" w:hAnsi="Arial"/>
          <w:sz w:val="24"/>
        </w:rPr>
        <w:t xml:space="preserve"> </w:t>
      </w:r>
      <w:r w:rsidRPr="00F24911">
        <w:rPr>
          <w:rFonts w:ascii="Arial" w:hAnsi="Arial"/>
          <w:i/>
          <w:iCs/>
          <w:sz w:val="24"/>
        </w:rPr>
        <w:t>session automne 2025</w:t>
      </w:r>
    </w:p>
    <w:p w14:paraId="0BE8EC21" w14:textId="24680BFF" w:rsidR="00F24911" w:rsidRPr="00F24911" w:rsidRDefault="00F24911" w:rsidP="00F24911">
      <w:pPr>
        <w:numPr>
          <w:ilvl w:val="0"/>
          <w:numId w:val="1"/>
        </w:numPr>
        <w:rPr>
          <w:rFonts w:ascii="Arial" w:hAnsi="Arial"/>
          <w:sz w:val="24"/>
        </w:rPr>
      </w:pPr>
      <w:r w:rsidRPr="00F24911">
        <w:rPr>
          <w:rFonts w:ascii="Arial" w:hAnsi="Arial"/>
          <w:b/>
          <w:bCs/>
          <w:sz w:val="24"/>
        </w:rPr>
        <w:t>Fondation Cypihot-Ouellette</w:t>
      </w:r>
      <w:r w:rsidRPr="00F24911">
        <w:rPr>
          <w:rFonts w:ascii="Arial" w:hAnsi="Arial"/>
          <w:sz w:val="24"/>
        </w:rPr>
        <w:t> – 400 $,</w:t>
      </w:r>
      <w:r>
        <w:rPr>
          <w:rFonts w:ascii="Arial" w:hAnsi="Arial"/>
          <w:sz w:val="24"/>
        </w:rPr>
        <w:t xml:space="preserve"> </w:t>
      </w:r>
      <w:r w:rsidRPr="00F24911">
        <w:rPr>
          <w:rFonts w:ascii="Arial" w:hAnsi="Arial"/>
          <w:i/>
          <w:iCs/>
          <w:sz w:val="24"/>
        </w:rPr>
        <w:t>session printemps 2025</w:t>
      </w:r>
    </w:p>
    <w:p w14:paraId="3ADE5121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37053981" w14:textId="77777777" w:rsidR="007D1732" w:rsidRPr="00975F7B" w:rsidRDefault="007D1732" w:rsidP="007D1732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Tournois téléphoniques</w:t>
      </w:r>
    </w:p>
    <w:p w14:paraId="5E7BED11" w14:textId="77777777" w:rsidR="007D1732" w:rsidRDefault="007D1732" w:rsidP="007D1732">
      <w:pPr>
        <w:rPr>
          <w:rFonts w:ascii="Arial" w:hAnsi="Arial"/>
          <w:sz w:val="24"/>
        </w:rPr>
      </w:pPr>
    </w:p>
    <w:p w14:paraId="6CBCD2F5" w14:textId="798208DC" w:rsidR="00087315" w:rsidRDefault="007D1732" w:rsidP="007D1732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 xml:space="preserve">Trois tournois téléphoniques, soit les </w:t>
      </w:r>
      <w:r w:rsidR="008F0DF5">
        <w:rPr>
          <w:rFonts w:ascii="Arial" w:hAnsi="Arial"/>
          <w:sz w:val="24"/>
        </w:rPr>
        <w:t>9e</w:t>
      </w:r>
      <w:r w:rsidRPr="00975F7B">
        <w:rPr>
          <w:rFonts w:ascii="Arial" w:hAnsi="Arial"/>
          <w:sz w:val="24"/>
        </w:rPr>
        <w:t xml:space="preserve">, </w:t>
      </w:r>
      <w:r w:rsidR="008F0DF5">
        <w:rPr>
          <w:rFonts w:ascii="Arial" w:hAnsi="Arial"/>
          <w:sz w:val="24"/>
        </w:rPr>
        <w:t>10</w:t>
      </w:r>
      <w:r w:rsidRPr="00975F7B">
        <w:rPr>
          <w:rFonts w:ascii="Arial" w:hAnsi="Arial"/>
          <w:sz w:val="24"/>
          <w:vertAlign w:val="superscript"/>
        </w:rPr>
        <w:t>e</w:t>
      </w:r>
      <w:r w:rsidRPr="00975F7B">
        <w:rPr>
          <w:rFonts w:ascii="Arial" w:hAnsi="Arial"/>
          <w:sz w:val="24"/>
        </w:rPr>
        <w:t xml:space="preserve"> et </w:t>
      </w:r>
      <w:r w:rsidR="008F0DF5">
        <w:rPr>
          <w:rFonts w:ascii="Arial" w:hAnsi="Arial"/>
          <w:sz w:val="24"/>
        </w:rPr>
        <w:t>11</w:t>
      </w:r>
      <w:r w:rsidRPr="00975F7B">
        <w:rPr>
          <w:rFonts w:ascii="Arial" w:hAnsi="Arial"/>
          <w:sz w:val="24"/>
          <w:vertAlign w:val="superscript"/>
        </w:rPr>
        <w:t>e</w:t>
      </w:r>
      <w:r w:rsidRPr="00975F7B">
        <w:rPr>
          <w:rFonts w:ascii="Arial" w:hAnsi="Arial"/>
          <w:sz w:val="24"/>
        </w:rPr>
        <w:t xml:space="preserve"> depuis le début de l’activité en 2022 se sont déroulés au cours de l’année. En tout, 17 joueurs y ont participé. Bien que la plupart choisissent les plateformes numériques, l’AQJÉHV continuera de promouvoir l’option téléphonique tant qu’il y aura des membres pour qui l’accès à ces technologies restera problématique. </w:t>
      </w:r>
    </w:p>
    <w:p w14:paraId="3BE3ED89" w14:textId="77777777" w:rsidR="007D1732" w:rsidRDefault="007D1732" w:rsidP="007D1732">
      <w:pPr>
        <w:rPr>
          <w:rFonts w:ascii="Arial" w:hAnsi="Arial"/>
          <w:sz w:val="24"/>
        </w:rPr>
      </w:pPr>
    </w:p>
    <w:p w14:paraId="4DED55CD" w14:textId="0EC91226" w:rsidR="00087315" w:rsidRDefault="00087315" w:rsidP="00575A0F">
      <w:pPr>
        <w:pStyle w:val="Titre3"/>
      </w:pPr>
      <w:r>
        <w:t>Autres activités :</w:t>
      </w:r>
    </w:p>
    <w:p w14:paraId="2A7151DC" w14:textId="77777777" w:rsidR="00087315" w:rsidRDefault="00087315" w:rsidP="007D1732">
      <w:pPr>
        <w:rPr>
          <w:rFonts w:ascii="Arial" w:hAnsi="Arial"/>
          <w:sz w:val="24"/>
        </w:rPr>
      </w:pPr>
    </w:p>
    <w:p w14:paraId="40D68ABC" w14:textId="69BFBD5F" w:rsidR="00087315" w:rsidRDefault="008F0DF5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Q</w:t>
      </w:r>
      <w:r w:rsidR="00087315">
        <w:rPr>
          <w:rFonts w:ascii="Arial" w:hAnsi="Arial"/>
          <w:sz w:val="24"/>
        </w:rPr>
        <w:t xml:space="preserve">uelques rencontres des Chevaliers du roi </w:t>
      </w:r>
      <w:r>
        <w:rPr>
          <w:rFonts w:ascii="Arial" w:hAnsi="Arial"/>
          <w:sz w:val="24"/>
        </w:rPr>
        <w:t xml:space="preserve">ont eu lieu </w:t>
      </w:r>
      <w:r w:rsidR="00087315">
        <w:rPr>
          <w:rFonts w:ascii="Arial" w:hAnsi="Arial"/>
          <w:sz w:val="24"/>
        </w:rPr>
        <w:t>à Longueuil</w:t>
      </w:r>
      <w:r w:rsidR="00D02E92">
        <w:rPr>
          <w:rFonts w:ascii="Arial" w:hAnsi="Arial"/>
          <w:sz w:val="24"/>
        </w:rPr>
        <w:t xml:space="preserve"> au cours du printemps et de l’été 2025</w:t>
      </w:r>
      <w:r w:rsidR="00087315">
        <w:rPr>
          <w:rFonts w:ascii="Arial" w:hAnsi="Arial"/>
          <w:sz w:val="24"/>
        </w:rPr>
        <w:t xml:space="preserve">. Toutefois, il semble qu’il soit difficile de réunir le minimum de 4 personnes </w:t>
      </w:r>
      <w:r w:rsidR="00D02E92">
        <w:rPr>
          <w:rFonts w:ascii="Arial" w:hAnsi="Arial"/>
          <w:sz w:val="24"/>
        </w:rPr>
        <w:t>requis</w:t>
      </w:r>
      <w:r w:rsidR="00087315">
        <w:rPr>
          <w:rFonts w:ascii="Arial" w:hAnsi="Arial"/>
          <w:sz w:val="24"/>
        </w:rPr>
        <w:t xml:space="preserve"> </w:t>
      </w:r>
      <w:r w:rsidR="00D02E92">
        <w:rPr>
          <w:rFonts w:ascii="Arial" w:hAnsi="Arial"/>
          <w:sz w:val="24"/>
        </w:rPr>
        <w:t>pour</w:t>
      </w:r>
      <w:r w:rsidR="00087315">
        <w:rPr>
          <w:rFonts w:ascii="Arial" w:hAnsi="Arial"/>
          <w:sz w:val="24"/>
        </w:rPr>
        <w:t xml:space="preserve"> la tenue régulière de l’activité.</w:t>
      </w:r>
    </w:p>
    <w:p w14:paraId="1303867C" w14:textId="77777777" w:rsidR="00087315" w:rsidRDefault="00087315" w:rsidP="007D1732">
      <w:pPr>
        <w:rPr>
          <w:rFonts w:ascii="Arial" w:hAnsi="Arial"/>
          <w:sz w:val="24"/>
        </w:rPr>
      </w:pPr>
    </w:p>
    <w:p w14:paraId="6E5FADB4" w14:textId="143FC8C2" w:rsidR="00087315" w:rsidRDefault="00087315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À l’automne 2025, un projet de mini-tournoi en face-à-face devant </w:t>
      </w:r>
      <w:r w:rsidR="00D02E92">
        <w:rPr>
          <w:rFonts w:ascii="Arial" w:hAnsi="Arial"/>
          <w:sz w:val="24"/>
        </w:rPr>
        <w:t xml:space="preserve">se dérouler à Montréal et nommé tournoi Émile-Ouellet en hommage à notre </w:t>
      </w:r>
      <w:r>
        <w:rPr>
          <w:rFonts w:ascii="Arial" w:hAnsi="Arial"/>
          <w:sz w:val="24"/>
        </w:rPr>
        <w:t xml:space="preserve">président-fondateur </w:t>
      </w:r>
      <w:r w:rsidR="00D02E92">
        <w:rPr>
          <w:rFonts w:ascii="Arial" w:hAnsi="Arial"/>
          <w:sz w:val="24"/>
        </w:rPr>
        <w:t xml:space="preserve">(décédé en 2023) </w:t>
      </w:r>
      <w:r>
        <w:rPr>
          <w:rFonts w:ascii="Arial" w:hAnsi="Arial"/>
          <w:sz w:val="24"/>
        </w:rPr>
        <w:t>a dû être annulé, faute de participants.</w:t>
      </w:r>
    </w:p>
    <w:p w14:paraId="7C60C92D" w14:textId="77777777" w:rsidR="00087315" w:rsidRDefault="00087315" w:rsidP="007D1732">
      <w:pPr>
        <w:rPr>
          <w:rFonts w:ascii="Arial" w:hAnsi="Arial"/>
          <w:sz w:val="24"/>
        </w:rPr>
      </w:pPr>
    </w:p>
    <w:p w14:paraId="75094337" w14:textId="588942C0" w:rsidR="0096254C" w:rsidRDefault="0096254C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Tournois internationaux :</w:t>
      </w:r>
    </w:p>
    <w:p w14:paraId="3FF0554B" w14:textId="77777777" w:rsidR="0096254C" w:rsidRDefault="0096254C" w:rsidP="007D1732">
      <w:pPr>
        <w:rPr>
          <w:rFonts w:ascii="Arial" w:hAnsi="Arial"/>
          <w:sz w:val="24"/>
        </w:rPr>
      </w:pPr>
    </w:p>
    <w:p w14:paraId="1CFE8850" w14:textId="6BC015B1" w:rsidR="006E0645" w:rsidRDefault="006E0645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Quatre membres de l’Association – dont d</w:t>
      </w:r>
      <w:r w:rsidR="0096254C">
        <w:rPr>
          <w:rFonts w:ascii="Arial" w:hAnsi="Arial"/>
          <w:sz w:val="24"/>
        </w:rPr>
        <w:t>eux Québécois</w:t>
      </w:r>
      <w:r>
        <w:rPr>
          <w:rFonts w:ascii="Arial" w:hAnsi="Arial"/>
          <w:sz w:val="24"/>
        </w:rPr>
        <w:t xml:space="preserve"> -</w:t>
      </w:r>
      <w:r w:rsidR="0096254C">
        <w:rPr>
          <w:rFonts w:ascii="Arial" w:hAnsi="Arial"/>
          <w:sz w:val="24"/>
        </w:rPr>
        <w:t xml:space="preserve"> ont participé au Championnat de France pour non et malvoyants en 2025. </w:t>
      </w:r>
      <w:r>
        <w:rPr>
          <w:rFonts w:ascii="Arial" w:hAnsi="Arial"/>
          <w:sz w:val="24"/>
        </w:rPr>
        <w:t>Huit seront présents au Championnat de 2026, dont 3 Québécois.</w:t>
      </w:r>
    </w:p>
    <w:p w14:paraId="07946B37" w14:textId="77777777" w:rsidR="0096254C" w:rsidRDefault="0096254C" w:rsidP="007D1732">
      <w:pPr>
        <w:rPr>
          <w:rFonts w:ascii="Arial" w:hAnsi="Arial"/>
          <w:sz w:val="24"/>
        </w:rPr>
      </w:pPr>
    </w:p>
    <w:p w14:paraId="41326ABC" w14:textId="435C4639" w:rsidR="0096254C" w:rsidRDefault="0096254C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L’AQJÉHV a assuré le soutien logistique pour deux de ses membres inscrits aux championnats IBCA en Pologne et en Colombie. Une grève chez Air Canada a malencontreusement forcé l’annulation de leur participation en Pologne</w:t>
      </w:r>
      <w:r w:rsidR="006E0645">
        <w:rPr>
          <w:rFonts w:ascii="Arial" w:hAnsi="Arial"/>
          <w:sz w:val="24"/>
        </w:rPr>
        <w:t xml:space="preserve">, mais le tournoi de Colombie s’est déroulé </w:t>
      </w:r>
      <w:r w:rsidR="00562029">
        <w:rPr>
          <w:rFonts w:ascii="Arial" w:hAnsi="Arial"/>
          <w:sz w:val="24"/>
        </w:rPr>
        <w:t>tel que</w:t>
      </w:r>
      <w:r w:rsidR="006E0645">
        <w:rPr>
          <w:rFonts w:ascii="Arial" w:hAnsi="Arial"/>
          <w:sz w:val="24"/>
        </w:rPr>
        <w:t xml:space="preserve"> prévu.</w:t>
      </w:r>
    </w:p>
    <w:p w14:paraId="1101BDE1" w14:textId="77777777" w:rsidR="0096254C" w:rsidRDefault="0096254C" w:rsidP="007D1732">
      <w:pPr>
        <w:rPr>
          <w:rFonts w:ascii="Arial" w:hAnsi="Arial"/>
          <w:sz w:val="24"/>
        </w:rPr>
      </w:pPr>
    </w:p>
    <w:p w14:paraId="4E832AC0" w14:textId="0C77D0F5" w:rsidR="006E0645" w:rsidRDefault="006E0645" w:rsidP="007D173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Mentionnons, enfin, que deux de nos membres font partie de l’équipe de France au Championnat du monde IBCA de Petrovac</w:t>
      </w:r>
      <w:r w:rsidR="008F6CE9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Montenegro</w:t>
      </w:r>
      <w:r w:rsidR="008F6CE9">
        <w:rPr>
          <w:rFonts w:ascii="Arial" w:hAnsi="Arial"/>
          <w:sz w:val="24"/>
        </w:rPr>
        <w:t>, qui se déroulera du 17 au 28 avril</w:t>
      </w:r>
      <w:r>
        <w:rPr>
          <w:rFonts w:ascii="Arial" w:hAnsi="Arial"/>
          <w:sz w:val="24"/>
        </w:rPr>
        <w:t xml:space="preserve">. </w:t>
      </w:r>
    </w:p>
    <w:p w14:paraId="4017B66B" w14:textId="190BED5B" w:rsidR="006E0645" w:rsidRDefault="006E0645" w:rsidP="007D1732">
      <w:pPr>
        <w:rPr>
          <w:rFonts w:ascii="Arial" w:hAnsi="Arial"/>
          <w:sz w:val="24"/>
        </w:rPr>
      </w:pPr>
    </w:p>
    <w:p w14:paraId="321C7776" w14:textId="77777777" w:rsidR="007D1732" w:rsidRPr="00975F7B" w:rsidRDefault="007D1732" w:rsidP="007D1732">
      <w:pPr>
        <w:pStyle w:val="Titre2"/>
        <w:rPr>
          <w:rFonts w:ascii="Arial" w:hAnsi="Arial"/>
          <w:b/>
          <w:color w:val="auto"/>
          <w:sz w:val="28"/>
        </w:rPr>
      </w:pPr>
      <w:r w:rsidRPr="00975F7B">
        <w:rPr>
          <w:rFonts w:ascii="Arial" w:hAnsi="Arial"/>
          <w:b/>
          <w:color w:val="auto"/>
          <w:sz w:val="28"/>
        </w:rPr>
        <w:t>Communications et promotion</w:t>
      </w:r>
    </w:p>
    <w:p w14:paraId="091FC9C7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238C9DF4" w14:textId="77777777" w:rsidR="007D1732" w:rsidRPr="00975F7B" w:rsidRDefault="007D1732" w:rsidP="007D1732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Infolettre</w:t>
      </w:r>
    </w:p>
    <w:p w14:paraId="64945821" w14:textId="77777777" w:rsidR="007D1732" w:rsidRDefault="007D1732" w:rsidP="007D1732">
      <w:pPr>
        <w:rPr>
          <w:rFonts w:ascii="Arial" w:hAnsi="Arial"/>
          <w:sz w:val="24"/>
        </w:rPr>
      </w:pPr>
    </w:p>
    <w:p w14:paraId="3F51E9B8" w14:textId="3703BABF" w:rsidR="008F6CE9" w:rsidRDefault="007D1732" w:rsidP="007D1732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 xml:space="preserve">5 AQJÉHV-Express ont été </w:t>
      </w:r>
      <w:r w:rsidR="00562029">
        <w:rPr>
          <w:rFonts w:ascii="Arial" w:hAnsi="Arial"/>
          <w:sz w:val="24"/>
        </w:rPr>
        <w:t>diffusés</w:t>
      </w:r>
      <w:r w:rsidRPr="00975F7B">
        <w:rPr>
          <w:rFonts w:ascii="Arial" w:hAnsi="Arial"/>
          <w:sz w:val="24"/>
        </w:rPr>
        <w:t xml:space="preserve"> depuis </w:t>
      </w:r>
      <w:r w:rsidR="008F6CE9">
        <w:rPr>
          <w:rFonts w:ascii="Arial" w:hAnsi="Arial"/>
          <w:sz w:val="24"/>
        </w:rPr>
        <w:t>la dernière AGA.</w:t>
      </w:r>
    </w:p>
    <w:p w14:paraId="3D050D5B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05DE3AFF" w14:textId="77777777" w:rsidR="007D1732" w:rsidRPr="00975F7B" w:rsidRDefault="007D1732" w:rsidP="007D1732">
      <w:pPr>
        <w:pStyle w:val="Titre3"/>
        <w:rPr>
          <w:rFonts w:ascii="Arial" w:hAnsi="Arial"/>
          <w:color w:val="auto"/>
          <w:sz w:val="24"/>
          <w:u w:val="single"/>
        </w:rPr>
      </w:pPr>
      <w:r w:rsidRPr="00975F7B">
        <w:rPr>
          <w:rFonts w:ascii="Arial" w:hAnsi="Arial"/>
          <w:color w:val="auto"/>
          <w:sz w:val="24"/>
          <w:u w:val="single"/>
        </w:rPr>
        <w:t>Site Web</w:t>
      </w:r>
    </w:p>
    <w:p w14:paraId="398A016F" w14:textId="77777777" w:rsidR="007D1732" w:rsidRDefault="007D1732" w:rsidP="007D1732">
      <w:pPr>
        <w:rPr>
          <w:rFonts w:ascii="Arial" w:hAnsi="Arial"/>
          <w:sz w:val="24"/>
        </w:rPr>
      </w:pPr>
    </w:p>
    <w:p w14:paraId="0BB76347" w14:textId="3E63E490" w:rsidR="008F6CE9" w:rsidRDefault="007D1732" w:rsidP="007D1732">
      <w:pPr>
        <w:rPr>
          <w:rFonts w:ascii="Arial" w:hAnsi="Arial"/>
          <w:sz w:val="24"/>
        </w:rPr>
      </w:pPr>
      <w:r w:rsidRPr="00975F7B">
        <w:rPr>
          <w:rFonts w:ascii="Arial" w:hAnsi="Arial"/>
          <w:sz w:val="24"/>
        </w:rPr>
        <w:t xml:space="preserve">Notre site Web </w:t>
      </w:r>
      <w:r w:rsidR="008F6CE9">
        <w:rPr>
          <w:rFonts w:ascii="Arial" w:hAnsi="Arial"/>
          <w:sz w:val="24"/>
        </w:rPr>
        <w:t xml:space="preserve">continue de s’enrichir et est toujours bien référencé </w:t>
      </w:r>
      <w:r w:rsidR="00E31831">
        <w:rPr>
          <w:rFonts w:ascii="Arial" w:hAnsi="Arial"/>
          <w:sz w:val="24"/>
        </w:rPr>
        <w:t>par</w:t>
      </w:r>
      <w:r w:rsidR="008F6CE9">
        <w:rPr>
          <w:rFonts w:ascii="Arial" w:hAnsi="Arial"/>
          <w:sz w:val="24"/>
        </w:rPr>
        <w:t xml:space="preserve"> les moteurs de recherche.</w:t>
      </w:r>
    </w:p>
    <w:p w14:paraId="20F6820C" w14:textId="77777777" w:rsidR="007D1732" w:rsidRPr="00975F7B" w:rsidRDefault="007D1732" w:rsidP="007D1732">
      <w:pPr>
        <w:rPr>
          <w:rFonts w:ascii="Arial" w:hAnsi="Arial"/>
          <w:sz w:val="24"/>
        </w:rPr>
      </w:pPr>
    </w:p>
    <w:p w14:paraId="0B95C756" w14:textId="77777777" w:rsidR="00095175" w:rsidRDefault="00095175">
      <w:pPr>
        <w:spacing w:line="278" w:lineRule="auto"/>
        <w:rPr>
          <w:rFonts w:ascii="Arial" w:eastAsiaTheme="majorEastAsia" w:hAnsi="Arial" w:cstheme="majorBidi"/>
          <w:b/>
          <w:sz w:val="28"/>
          <w:szCs w:val="32"/>
        </w:rPr>
      </w:pPr>
      <w:r>
        <w:rPr>
          <w:rFonts w:ascii="Arial" w:hAnsi="Arial"/>
          <w:b/>
          <w:sz w:val="28"/>
        </w:rPr>
        <w:br w:type="page"/>
      </w:r>
    </w:p>
    <w:p w14:paraId="3C715AB5" w14:textId="0A30C22C" w:rsidR="000B1E34" w:rsidRDefault="007D1732" w:rsidP="007D1732">
      <w:pPr>
        <w:pStyle w:val="Titre2"/>
        <w:rPr>
          <w:rFonts w:ascii="Arial" w:hAnsi="Arial"/>
          <w:b/>
          <w:color w:val="auto"/>
          <w:sz w:val="28"/>
        </w:rPr>
      </w:pPr>
      <w:r w:rsidRPr="00975F7B">
        <w:rPr>
          <w:rFonts w:ascii="Arial" w:hAnsi="Arial"/>
          <w:b/>
          <w:color w:val="auto"/>
          <w:sz w:val="28"/>
        </w:rPr>
        <w:lastRenderedPageBreak/>
        <w:t>Projets envisag</w:t>
      </w:r>
      <w:r w:rsidR="00575A0F">
        <w:rPr>
          <w:rFonts w:ascii="Arial" w:hAnsi="Arial"/>
          <w:b/>
          <w:color w:val="auto"/>
          <w:sz w:val="28"/>
        </w:rPr>
        <w:t>és</w:t>
      </w:r>
      <w:r w:rsidRPr="00975F7B">
        <w:rPr>
          <w:rFonts w:ascii="Arial" w:hAnsi="Arial"/>
          <w:b/>
          <w:color w:val="auto"/>
          <w:sz w:val="28"/>
        </w:rPr>
        <w:t xml:space="preserve"> </w:t>
      </w:r>
      <w:r w:rsidR="000B1E34">
        <w:rPr>
          <w:rFonts w:ascii="Arial" w:hAnsi="Arial"/>
          <w:b/>
          <w:color w:val="auto"/>
          <w:sz w:val="28"/>
        </w:rPr>
        <w:t>en 2026-2027 :</w:t>
      </w:r>
    </w:p>
    <w:p w14:paraId="7563864E" w14:textId="77777777" w:rsidR="007D1732" w:rsidRPr="00975F7B" w:rsidRDefault="007D1732" w:rsidP="007D1732">
      <w:pPr>
        <w:rPr>
          <w:rFonts w:ascii="Arial" w:hAnsi="Arial"/>
        </w:rPr>
      </w:pPr>
    </w:p>
    <w:p w14:paraId="37DCCCF3" w14:textId="77777777" w:rsidR="00575A0F" w:rsidRDefault="00575A0F" w:rsidP="000B1E34">
      <w:pPr>
        <w:pStyle w:val="Titre3"/>
      </w:pPr>
      <w:r>
        <w:t>Tournoi invitation Caecitas :</w:t>
      </w:r>
    </w:p>
    <w:p w14:paraId="30A68830" w14:textId="77777777" w:rsidR="000B1E34" w:rsidRDefault="000B1E34" w:rsidP="00575A0F">
      <w:pPr>
        <w:rPr>
          <w:rFonts w:ascii="Arial" w:hAnsi="Arial"/>
          <w:sz w:val="24"/>
        </w:rPr>
      </w:pPr>
    </w:p>
    <w:p w14:paraId="6698B889" w14:textId="11212FE6" w:rsidR="00575A0F" w:rsidRDefault="00575A0F" w:rsidP="00575A0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 collaboration avec le </w:t>
      </w:r>
      <w:r w:rsidR="00154157">
        <w:rPr>
          <w:rFonts w:ascii="Arial" w:hAnsi="Arial"/>
          <w:sz w:val="24"/>
        </w:rPr>
        <w:t>Carrefour</w:t>
      </w:r>
      <w:r>
        <w:rPr>
          <w:rFonts w:ascii="Arial" w:hAnsi="Arial"/>
          <w:sz w:val="24"/>
        </w:rPr>
        <w:t xml:space="preserve"> québécois des personnes aveugles (</w:t>
      </w:r>
      <w:r w:rsidR="000B1E34">
        <w:rPr>
          <w:rFonts w:ascii="Arial" w:hAnsi="Arial"/>
          <w:sz w:val="24"/>
        </w:rPr>
        <w:t>CQ</w:t>
      </w:r>
      <w:r>
        <w:rPr>
          <w:rFonts w:ascii="Arial" w:hAnsi="Arial"/>
          <w:sz w:val="24"/>
        </w:rPr>
        <w:t xml:space="preserve">PA) pour le volet logistique, nous prévoyons la tenue d’un tournoi invitation </w:t>
      </w:r>
      <w:r w:rsidR="00154157">
        <w:rPr>
          <w:rFonts w:ascii="Arial" w:hAnsi="Arial"/>
          <w:sz w:val="24"/>
        </w:rPr>
        <w:t>Cécités</w:t>
      </w:r>
      <w:r>
        <w:rPr>
          <w:rFonts w:ascii="Arial" w:hAnsi="Arial"/>
          <w:sz w:val="24"/>
        </w:rPr>
        <w:t>, les 14, 15 et 16 août prochains à Québec. Ce tournoi sera homologué FQE</w:t>
      </w:r>
      <w:r w:rsidR="000B1E3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et devrait accueillir une trentaine de joueurs d’ici et d’ailleurs au Canada et en Europe, le tout, grâce à la participation financière majeure de la Fondation Caecitas.</w:t>
      </w:r>
    </w:p>
    <w:p w14:paraId="0BEC3B1C" w14:textId="77777777" w:rsidR="00575A0F" w:rsidRDefault="00575A0F" w:rsidP="00575A0F">
      <w:pPr>
        <w:rPr>
          <w:rFonts w:ascii="Arial" w:hAnsi="Arial"/>
          <w:sz w:val="24"/>
        </w:rPr>
      </w:pPr>
    </w:p>
    <w:p w14:paraId="302D229D" w14:textId="77777777" w:rsidR="007D1732" w:rsidRPr="00FA08FC" w:rsidRDefault="007D1732" w:rsidP="007D1732">
      <w:pPr>
        <w:pStyle w:val="Titre3"/>
        <w:rPr>
          <w:rFonts w:ascii="Arial" w:hAnsi="Arial"/>
          <w:color w:val="auto"/>
          <w:sz w:val="24"/>
          <w:u w:val="single"/>
        </w:rPr>
      </w:pPr>
      <w:r w:rsidRPr="00FA08FC">
        <w:rPr>
          <w:rFonts w:ascii="Arial" w:hAnsi="Arial"/>
          <w:color w:val="auto"/>
          <w:sz w:val="24"/>
          <w:u w:val="single"/>
        </w:rPr>
        <w:t xml:space="preserve">Cours d’échecs </w:t>
      </w:r>
    </w:p>
    <w:p w14:paraId="4E95B4E1" w14:textId="77777777" w:rsidR="007D1732" w:rsidRDefault="007D1732" w:rsidP="007D1732">
      <w:pPr>
        <w:rPr>
          <w:rFonts w:ascii="Arial" w:hAnsi="Arial"/>
        </w:rPr>
      </w:pPr>
    </w:p>
    <w:p w14:paraId="4FE2662C" w14:textId="2C2821B8" w:rsidR="00575A0F" w:rsidRDefault="007D1732" w:rsidP="007D1732">
      <w:pPr>
        <w:rPr>
          <w:rFonts w:ascii="Arial" w:hAnsi="Arial"/>
        </w:rPr>
      </w:pPr>
      <w:r w:rsidRPr="00975F7B">
        <w:rPr>
          <w:rFonts w:ascii="Arial" w:hAnsi="Arial"/>
        </w:rPr>
        <w:t xml:space="preserve">Nous </w:t>
      </w:r>
      <w:r w:rsidR="000B1E34">
        <w:rPr>
          <w:rFonts w:ascii="Arial" w:hAnsi="Arial"/>
        </w:rPr>
        <w:t xml:space="preserve">sommes </w:t>
      </w:r>
      <w:r w:rsidRPr="00975F7B">
        <w:rPr>
          <w:rFonts w:ascii="Arial" w:hAnsi="Arial"/>
        </w:rPr>
        <w:t xml:space="preserve">toujours </w:t>
      </w:r>
      <w:r w:rsidR="000B1E34">
        <w:rPr>
          <w:rFonts w:ascii="Arial" w:hAnsi="Arial"/>
        </w:rPr>
        <w:t>à la recherche d’</w:t>
      </w:r>
      <w:r w:rsidRPr="00975F7B">
        <w:rPr>
          <w:rFonts w:ascii="Arial" w:hAnsi="Arial"/>
        </w:rPr>
        <w:t xml:space="preserve">une ressource qui nous permettrait d’offrir à nouveau des formations pour joueurs plus avancés. </w:t>
      </w:r>
    </w:p>
    <w:p w14:paraId="202C3BC4" w14:textId="77777777" w:rsidR="007D1732" w:rsidRPr="00975F7B" w:rsidRDefault="007D1732" w:rsidP="007D1732">
      <w:pPr>
        <w:rPr>
          <w:rFonts w:ascii="Arial" w:hAnsi="Arial"/>
        </w:rPr>
      </w:pPr>
    </w:p>
    <w:p w14:paraId="46D20C58" w14:textId="3C567D6A" w:rsidR="007D1732" w:rsidRPr="00FA08FC" w:rsidRDefault="00095175" w:rsidP="007D1732">
      <w:pPr>
        <w:pStyle w:val="Titre3"/>
        <w:rPr>
          <w:rFonts w:ascii="Arial" w:hAnsi="Arial"/>
          <w:color w:val="auto"/>
          <w:sz w:val="24"/>
          <w:u w:val="single"/>
        </w:rPr>
      </w:pPr>
      <w:r>
        <w:rPr>
          <w:rFonts w:ascii="Arial" w:hAnsi="Arial"/>
          <w:color w:val="auto"/>
          <w:sz w:val="24"/>
          <w:u w:val="single"/>
        </w:rPr>
        <w:t xml:space="preserve">Reconnaissance et </w:t>
      </w:r>
      <w:r w:rsidR="007D1732" w:rsidRPr="00FA08FC">
        <w:rPr>
          <w:rFonts w:ascii="Arial" w:hAnsi="Arial"/>
          <w:color w:val="auto"/>
          <w:sz w:val="24"/>
          <w:u w:val="single"/>
        </w:rPr>
        <w:t xml:space="preserve">Financement </w:t>
      </w:r>
    </w:p>
    <w:p w14:paraId="03306A4F" w14:textId="77777777" w:rsidR="007D1732" w:rsidRDefault="007D1732" w:rsidP="007D1732">
      <w:pPr>
        <w:rPr>
          <w:rFonts w:ascii="Arial" w:hAnsi="Arial"/>
        </w:rPr>
      </w:pPr>
    </w:p>
    <w:p w14:paraId="34184CFA" w14:textId="0AEDA402" w:rsidR="000B1E34" w:rsidRDefault="00575A0F" w:rsidP="007D1732">
      <w:pPr>
        <w:rPr>
          <w:rFonts w:ascii="Arial" w:hAnsi="Arial"/>
        </w:rPr>
      </w:pPr>
      <w:r>
        <w:rPr>
          <w:rFonts w:ascii="Arial" w:hAnsi="Arial"/>
        </w:rPr>
        <w:t xml:space="preserve">Nous </w:t>
      </w:r>
      <w:r w:rsidR="000B1E34">
        <w:rPr>
          <w:rFonts w:ascii="Arial" w:hAnsi="Arial"/>
        </w:rPr>
        <w:t xml:space="preserve">espérons </w:t>
      </w:r>
      <w:r>
        <w:rPr>
          <w:rFonts w:ascii="Arial" w:hAnsi="Arial"/>
        </w:rPr>
        <w:t xml:space="preserve">vivement </w:t>
      </w:r>
      <w:r w:rsidR="000B1E34">
        <w:rPr>
          <w:rFonts w:ascii="Arial" w:hAnsi="Arial"/>
        </w:rPr>
        <w:t xml:space="preserve">pouvoir enfin </w:t>
      </w:r>
      <w:r>
        <w:rPr>
          <w:rFonts w:ascii="Arial" w:hAnsi="Arial"/>
        </w:rPr>
        <w:t xml:space="preserve">mettre en place un </w:t>
      </w:r>
      <w:r w:rsidR="000B1E34">
        <w:rPr>
          <w:rFonts w:ascii="Arial" w:hAnsi="Arial"/>
        </w:rPr>
        <w:t xml:space="preserve">véritable </w:t>
      </w:r>
      <w:r>
        <w:rPr>
          <w:rFonts w:ascii="Arial" w:hAnsi="Arial"/>
        </w:rPr>
        <w:t xml:space="preserve">comité de financement. </w:t>
      </w:r>
      <w:r w:rsidR="000B1E34">
        <w:rPr>
          <w:rFonts w:ascii="Arial" w:hAnsi="Arial"/>
        </w:rPr>
        <w:t xml:space="preserve">La stabilité de notre membership et de nos principales activités, </w:t>
      </w:r>
      <w:r w:rsidR="00FA25FD">
        <w:rPr>
          <w:rFonts w:ascii="Arial" w:hAnsi="Arial"/>
        </w:rPr>
        <w:t>la qualité de notre site Web et</w:t>
      </w:r>
      <w:r w:rsidR="000B1E34">
        <w:rPr>
          <w:rFonts w:ascii="Arial" w:hAnsi="Arial"/>
        </w:rPr>
        <w:t xml:space="preserve"> la reconnaissance </w:t>
      </w:r>
      <w:r w:rsidR="00FA25FD">
        <w:rPr>
          <w:rFonts w:ascii="Arial" w:hAnsi="Arial"/>
        </w:rPr>
        <w:t>de l’AQJÉHV par l’</w:t>
      </w:r>
      <w:r w:rsidR="000B1E34">
        <w:rPr>
          <w:rFonts w:ascii="Arial" w:hAnsi="Arial"/>
        </w:rPr>
        <w:t>IBCA</w:t>
      </w:r>
      <w:r w:rsidR="00FA25FD">
        <w:rPr>
          <w:rFonts w:ascii="Arial" w:hAnsi="Arial"/>
        </w:rPr>
        <w:t xml:space="preserve"> en tant que représentant canadien au niveau international,</w:t>
      </w:r>
      <w:r w:rsidR="000B1E34">
        <w:rPr>
          <w:rFonts w:ascii="Arial" w:hAnsi="Arial"/>
        </w:rPr>
        <w:t xml:space="preserve"> </w:t>
      </w:r>
      <w:r w:rsidR="00FA25FD">
        <w:rPr>
          <w:rFonts w:ascii="Arial" w:hAnsi="Arial"/>
        </w:rPr>
        <w:t>comptent certainement parmi l</w:t>
      </w:r>
      <w:r w:rsidR="000B1E34">
        <w:rPr>
          <w:rFonts w:ascii="Arial" w:hAnsi="Arial"/>
        </w:rPr>
        <w:t xml:space="preserve">es atouts à mettre en valeur </w:t>
      </w:r>
      <w:r w:rsidR="00154157">
        <w:rPr>
          <w:rFonts w:ascii="Arial" w:hAnsi="Arial"/>
        </w:rPr>
        <w:t xml:space="preserve">dans notre </w:t>
      </w:r>
      <w:r w:rsidR="000B1E34">
        <w:rPr>
          <w:rFonts w:ascii="Arial" w:hAnsi="Arial"/>
        </w:rPr>
        <w:t>recherche d</w:t>
      </w:r>
      <w:r w:rsidR="00154157">
        <w:rPr>
          <w:rFonts w:ascii="Arial" w:hAnsi="Arial"/>
        </w:rPr>
        <w:t xml:space="preserve">’un soutien </w:t>
      </w:r>
      <w:r w:rsidR="000B1E34">
        <w:rPr>
          <w:rFonts w:ascii="Arial" w:hAnsi="Arial"/>
        </w:rPr>
        <w:t>financier digne de ce nom.</w:t>
      </w:r>
    </w:p>
    <w:p w14:paraId="6AF020D7" w14:textId="77777777" w:rsidR="007D1732" w:rsidRDefault="007D1732" w:rsidP="007D1732">
      <w:pPr>
        <w:rPr>
          <w:rFonts w:ascii="Arial" w:hAnsi="Arial"/>
        </w:rPr>
      </w:pPr>
    </w:p>
    <w:p w14:paraId="6F219714" w14:textId="1027E6CC" w:rsidR="00095175" w:rsidRDefault="00095175" w:rsidP="007D1732">
      <w:pPr>
        <w:rPr>
          <w:rFonts w:ascii="Arial" w:hAnsi="Arial"/>
        </w:rPr>
      </w:pPr>
      <w:r>
        <w:rPr>
          <w:rFonts w:ascii="Arial" w:hAnsi="Arial"/>
        </w:rPr>
        <w:t xml:space="preserve">À moyen et </w:t>
      </w:r>
      <w:proofErr w:type="gramStart"/>
      <w:r>
        <w:rPr>
          <w:rFonts w:ascii="Arial" w:hAnsi="Arial"/>
        </w:rPr>
        <w:t>long</w:t>
      </w:r>
      <w:r w:rsidR="00154157">
        <w:rPr>
          <w:rFonts w:ascii="Arial" w:hAnsi="Arial"/>
        </w:rPr>
        <w:t xml:space="preserve"> terme</w:t>
      </w:r>
      <w:r w:rsidR="00246209">
        <w:rPr>
          <w:rFonts w:ascii="Arial" w:hAnsi="Arial"/>
        </w:rPr>
        <w:t>s</w:t>
      </w:r>
      <w:proofErr w:type="gramEnd"/>
      <w:r w:rsidR="00154157">
        <w:rPr>
          <w:rFonts w:ascii="Arial" w:hAnsi="Arial"/>
        </w:rPr>
        <w:t xml:space="preserve">, nous </w:t>
      </w:r>
      <w:r>
        <w:rPr>
          <w:rFonts w:ascii="Arial" w:hAnsi="Arial"/>
        </w:rPr>
        <w:t>souhaitons</w:t>
      </w:r>
      <w:r w:rsidR="00154157">
        <w:rPr>
          <w:rFonts w:ascii="Arial" w:hAnsi="Arial"/>
        </w:rPr>
        <w:t xml:space="preserve"> </w:t>
      </w:r>
      <w:r>
        <w:rPr>
          <w:rFonts w:ascii="Arial" w:hAnsi="Arial"/>
        </w:rPr>
        <w:t xml:space="preserve">tisser des </w:t>
      </w:r>
      <w:r w:rsidR="00154157">
        <w:rPr>
          <w:rFonts w:ascii="Arial" w:hAnsi="Arial"/>
        </w:rPr>
        <w:t>liens plus structurés avec les différentes fédérations</w:t>
      </w:r>
      <w:r>
        <w:rPr>
          <w:rFonts w:ascii="Arial" w:hAnsi="Arial"/>
        </w:rPr>
        <w:t>, FQE, FCE et FIDE.</w:t>
      </w:r>
    </w:p>
    <w:p w14:paraId="1928D3D1" w14:textId="77777777" w:rsidR="007D1732" w:rsidRDefault="007D1732" w:rsidP="007D1732">
      <w:pPr>
        <w:rPr>
          <w:rFonts w:ascii="Arial" w:hAnsi="Arial"/>
        </w:rPr>
      </w:pPr>
    </w:p>
    <w:p w14:paraId="5485EC21" w14:textId="77777777" w:rsidR="00095175" w:rsidRPr="00975F7B" w:rsidRDefault="00095175" w:rsidP="007D1732">
      <w:pPr>
        <w:rPr>
          <w:rFonts w:ascii="Arial" w:hAnsi="Arial"/>
        </w:rPr>
      </w:pPr>
    </w:p>
    <w:p w14:paraId="4E52A834" w14:textId="77777777" w:rsidR="007D1732" w:rsidRPr="00975F7B" w:rsidRDefault="007D1732" w:rsidP="007D1732">
      <w:pPr>
        <w:rPr>
          <w:rFonts w:ascii="Arial" w:hAnsi="Arial"/>
        </w:rPr>
      </w:pPr>
      <w:r w:rsidRPr="00975F7B">
        <w:rPr>
          <w:rFonts w:ascii="Arial" w:hAnsi="Arial"/>
        </w:rPr>
        <w:t>Mathieu Rochette, président</w:t>
      </w:r>
    </w:p>
    <w:p w14:paraId="540BC455" w14:textId="77777777" w:rsidR="007D1732" w:rsidRPr="00975F7B" w:rsidRDefault="007D1732" w:rsidP="007D1732">
      <w:pPr>
        <w:rPr>
          <w:rFonts w:ascii="Arial" w:hAnsi="Arial"/>
        </w:rPr>
      </w:pPr>
    </w:p>
    <w:p w14:paraId="7F1988AD" w14:textId="77777777" w:rsidR="00BB2A02" w:rsidRDefault="00BB2A02"/>
    <w:sectPr w:rsidR="00BB2A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01F3"/>
    <w:multiLevelType w:val="multilevel"/>
    <w:tmpl w:val="0EF2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222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2"/>
    <w:rsid w:val="00004031"/>
    <w:rsid w:val="00004B37"/>
    <w:rsid w:val="00030E48"/>
    <w:rsid w:val="000335E3"/>
    <w:rsid w:val="00053DCB"/>
    <w:rsid w:val="00055540"/>
    <w:rsid w:val="00073C8F"/>
    <w:rsid w:val="00074C90"/>
    <w:rsid w:val="00087315"/>
    <w:rsid w:val="00095175"/>
    <w:rsid w:val="000A02C3"/>
    <w:rsid w:val="000B0F9C"/>
    <w:rsid w:val="000B1E34"/>
    <w:rsid w:val="000B205D"/>
    <w:rsid w:val="000C084F"/>
    <w:rsid w:val="000C1610"/>
    <w:rsid w:val="000D51F4"/>
    <w:rsid w:val="000F4F3F"/>
    <w:rsid w:val="000F65AF"/>
    <w:rsid w:val="001011D4"/>
    <w:rsid w:val="00103974"/>
    <w:rsid w:val="00113035"/>
    <w:rsid w:val="00121FEC"/>
    <w:rsid w:val="00130184"/>
    <w:rsid w:val="00154157"/>
    <w:rsid w:val="00154CF1"/>
    <w:rsid w:val="00181751"/>
    <w:rsid w:val="001835F5"/>
    <w:rsid w:val="00184EFE"/>
    <w:rsid w:val="0018720E"/>
    <w:rsid w:val="00192B36"/>
    <w:rsid w:val="001A0840"/>
    <w:rsid w:val="001A1CF9"/>
    <w:rsid w:val="001A5B1F"/>
    <w:rsid w:val="001A5BB5"/>
    <w:rsid w:val="001C46FD"/>
    <w:rsid w:val="001C4745"/>
    <w:rsid w:val="001C486E"/>
    <w:rsid w:val="001D0133"/>
    <w:rsid w:val="001D3403"/>
    <w:rsid w:val="001E3F2C"/>
    <w:rsid w:val="001F0484"/>
    <w:rsid w:val="001F225E"/>
    <w:rsid w:val="001F7712"/>
    <w:rsid w:val="001F7CDA"/>
    <w:rsid w:val="0020478E"/>
    <w:rsid w:val="00204DF1"/>
    <w:rsid w:val="00211DD0"/>
    <w:rsid w:val="00215644"/>
    <w:rsid w:val="00235243"/>
    <w:rsid w:val="0024487D"/>
    <w:rsid w:val="00246209"/>
    <w:rsid w:val="00267F0E"/>
    <w:rsid w:val="00294C9F"/>
    <w:rsid w:val="002B3A8D"/>
    <w:rsid w:val="002C578E"/>
    <w:rsid w:val="002D292F"/>
    <w:rsid w:val="002E195D"/>
    <w:rsid w:val="002F3961"/>
    <w:rsid w:val="002F536C"/>
    <w:rsid w:val="0031308B"/>
    <w:rsid w:val="00315FDE"/>
    <w:rsid w:val="00330795"/>
    <w:rsid w:val="0033287C"/>
    <w:rsid w:val="0033674E"/>
    <w:rsid w:val="00344292"/>
    <w:rsid w:val="00345828"/>
    <w:rsid w:val="003960D8"/>
    <w:rsid w:val="003C1A2E"/>
    <w:rsid w:val="003D49F6"/>
    <w:rsid w:val="003E52F5"/>
    <w:rsid w:val="003F1B29"/>
    <w:rsid w:val="00400669"/>
    <w:rsid w:val="00400F91"/>
    <w:rsid w:val="00406964"/>
    <w:rsid w:val="00447918"/>
    <w:rsid w:val="00465EEC"/>
    <w:rsid w:val="004713BE"/>
    <w:rsid w:val="00483242"/>
    <w:rsid w:val="004975FF"/>
    <w:rsid w:val="004A2651"/>
    <w:rsid w:val="004B2A8B"/>
    <w:rsid w:val="004B3B1C"/>
    <w:rsid w:val="004B55B8"/>
    <w:rsid w:val="004E72E1"/>
    <w:rsid w:val="00500158"/>
    <w:rsid w:val="00506302"/>
    <w:rsid w:val="0050634C"/>
    <w:rsid w:val="005065C5"/>
    <w:rsid w:val="005070D7"/>
    <w:rsid w:val="005118BB"/>
    <w:rsid w:val="005154B3"/>
    <w:rsid w:val="0052636C"/>
    <w:rsid w:val="00542007"/>
    <w:rsid w:val="00542641"/>
    <w:rsid w:val="00544761"/>
    <w:rsid w:val="00562029"/>
    <w:rsid w:val="005673A3"/>
    <w:rsid w:val="00575A0F"/>
    <w:rsid w:val="005907B4"/>
    <w:rsid w:val="00595FE1"/>
    <w:rsid w:val="005D6E78"/>
    <w:rsid w:val="006068B4"/>
    <w:rsid w:val="00620BC5"/>
    <w:rsid w:val="00643980"/>
    <w:rsid w:val="00653C89"/>
    <w:rsid w:val="00662360"/>
    <w:rsid w:val="00673A21"/>
    <w:rsid w:val="00674EA8"/>
    <w:rsid w:val="00675A64"/>
    <w:rsid w:val="00680A72"/>
    <w:rsid w:val="00683382"/>
    <w:rsid w:val="006A0DF8"/>
    <w:rsid w:val="006A4908"/>
    <w:rsid w:val="006B33AB"/>
    <w:rsid w:val="006B5EB1"/>
    <w:rsid w:val="006D6762"/>
    <w:rsid w:val="006E0645"/>
    <w:rsid w:val="006E589A"/>
    <w:rsid w:val="006E7293"/>
    <w:rsid w:val="006E7FB7"/>
    <w:rsid w:val="007026C6"/>
    <w:rsid w:val="00702EFE"/>
    <w:rsid w:val="0071219E"/>
    <w:rsid w:val="00713D8D"/>
    <w:rsid w:val="007255DB"/>
    <w:rsid w:val="00740236"/>
    <w:rsid w:val="007603ED"/>
    <w:rsid w:val="00770C5E"/>
    <w:rsid w:val="00771FF5"/>
    <w:rsid w:val="0077229F"/>
    <w:rsid w:val="007A7EBB"/>
    <w:rsid w:val="007B045F"/>
    <w:rsid w:val="007B13C6"/>
    <w:rsid w:val="007B544F"/>
    <w:rsid w:val="007D146C"/>
    <w:rsid w:val="007D1732"/>
    <w:rsid w:val="007D76B7"/>
    <w:rsid w:val="007E4B08"/>
    <w:rsid w:val="007E7F88"/>
    <w:rsid w:val="008035CD"/>
    <w:rsid w:val="00810459"/>
    <w:rsid w:val="00824489"/>
    <w:rsid w:val="00825045"/>
    <w:rsid w:val="00855B53"/>
    <w:rsid w:val="008652A1"/>
    <w:rsid w:val="00886845"/>
    <w:rsid w:val="00894A42"/>
    <w:rsid w:val="008B3A20"/>
    <w:rsid w:val="008B7FF3"/>
    <w:rsid w:val="008C4DFB"/>
    <w:rsid w:val="008C7268"/>
    <w:rsid w:val="008D6AE5"/>
    <w:rsid w:val="008F0DF5"/>
    <w:rsid w:val="008F6CE9"/>
    <w:rsid w:val="009014A6"/>
    <w:rsid w:val="00911E61"/>
    <w:rsid w:val="00916B8D"/>
    <w:rsid w:val="0096254C"/>
    <w:rsid w:val="009739A0"/>
    <w:rsid w:val="009849B9"/>
    <w:rsid w:val="00986FA1"/>
    <w:rsid w:val="009A1A8A"/>
    <w:rsid w:val="009A28E6"/>
    <w:rsid w:val="009A5EE3"/>
    <w:rsid w:val="009B6A0E"/>
    <w:rsid w:val="009C4BF1"/>
    <w:rsid w:val="009D16BE"/>
    <w:rsid w:val="009D25AD"/>
    <w:rsid w:val="009E2D3D"/>
    <w:rsid w:val="009E349E"/>
    <w:rsid w:val="009E6B1F"/>
    <w:rsid w:val="009F03D9"/>
    <w:rsid w:val="009F4091"/>
    <w:rsid w:val="009F4F06"/>
    <w:rsid w:val="00A0047E"/>
    <w:rsid w:val="00A0607A"/>
    <w:rsid w:val="00A11C7E"/>
    <w:rsid w:val="00A250D8"/>
    <w:rsid w:val="00A317FE"/>
    <w:rsid w:val="00A44880"/>
    <w:rsid w:val="00A52D38"/>
    <w:rsid w:val="00A60599"/>
    <w:rsid w:val="00A732C8"/>
    <w:rsid w:val="00A7588B"/>
    <w:rsid w:val="00A8047D"/>
    <w:rsid w:val="00AB0C0F"/>
    <w:rsid w:val="00AB7775"/>
    <w:rsid w:val="00AD5A4B"/>
    <w:rsid w:val="00AE690E"/>
    <w:rsid w:val="00AF0776"/>
    <w:rsid w:val="00AF40DD"/>
    <w:rsid w:val="00B030A4"/>
    <w:rsid w:val="00B201BD"/>
    <w:rsid w:val="00B25AE6"/>
    <w:rsid w:val="00B323FF"/>
    <w:rsid w:val="00B5082E"/>
    <w:rsid w:val="00B60AFB"/>
    <w:rsid w:val="00B63F9E"/>
    <w:rsid w:val="00BB2A02"/>
    <w:rsid w:val="00BC2AD9"/>
    <w:rsid w:val="00BC6120"/>
    <w:rsid w:val="00BD5C98"/>
    <w:rsid w:val="00BE6F75"/>
    <w:rsid w:val="00C06334"/>
    <w:rsid w:val="00C114E0"/>
    <w:rsid w:val="00C13BAC"/>
    <w:rsid w:val="00C141D8"/>
    <w:rsid w:val="00C22849"/>
    <w:rsid w:val="00C32EC2"/>
    <w:rsid w:val="00C45373"/>
    <w:rsid w:val="00C6551A"/>
    <w:rsid w:val="00C74F76"/>
    <w:rsid w:val="00C91AD3"/>
    <w:rsid w:val="00C927E2"/>
    <w:rsid w:val="00CA5DB0"/>
    <w:rsid w:val="00CE5B1D"/>
    <w:rsid w:val="00CE7029"/>
    <w:rsid w:val="00CF02C4"/>
    <w:rsid w:val="00CF037A"/>
    <w:rsid w:val="00CF4918"/>
    <w:rsid w:val="00D0218E"/>
    <w:rsid w:val="00D02E92"/>
    <w:rsid w:val="00D10950"/>
    <w:rsid w:val="00D23183"/>
    <w:rsid w:val="00D2521C"/>
    <w:rsid w:val="00D35104"/>
    <w:rsid w:val="00D42CFB"/>
    <w:rsid w:val="00D43E96"/>
    <w:rsid w:val="00D47026"/>
    <w:rsid w:val="00D66B37"/>
    <w:rsid w:val="00D67D98"/>
    <w:rsid w:val="00D87EAC"/>
    <w:rsid w:val="00D906D0"/>
    <w:rsid w:val="00D93797"/>
    <w:rsid w:val="00D9790C"/>
    <w:rsid w:val="00DA498A"/>
    <w:rsid w:val="00DA6877"/>
    <w:rsid w:val="00DB05D5"/>
    <w:rsid w:val="00DD73F8"/>
    <w:rsid w:val="00DF18BC"/>
    <w:rsid w:val="00DF19E9"/>
    <w:rsid w:val="00DF2AF5"/>
    <w:rsid w:val="00E11BA2"/>
    <w:rsid w:val="00E14421"/>
    <w:rsid w:val="00E23254"/>
    <w:rsid w:val="00E247C2"/>
    <w:rsid w:val="00E300CC"/>
    <w:rsid w:val="00E31831"/>
    <w:rsid w:val="00E367A9"/>
    <w:rsid w:val="00E45E77"/>
    <w:rsid w:val="00E46335"/>
    <w:rsid w:val="00E50F45"/>
    <w:rsid w:val="00E5152B"/>
    <w:rsid w:val="00E906BC"/>
    <w:rsid w:val="00E91EB9"/>
    <w:rsid w:val="00EB61BE"/>
    <w:rsid w:val="00EC207D"/>
    <w:rsid w:val="00EE3018"/>
    <w:rsid w:val="00EE5933"/>
    <w:rsid w:val="00EF224F"/>
    <w:rsid w:val="00F00B85"/>
    <w:rsid w:val="00F04924"/>
    <w:rsid w:val="00F24419"/>
    <w:rsid w:val="00F24911"/>
    <w:rsid w:val="00F25C3D"/>
    <w:rsid w:val="00F30F66"/>
    <w:rsid w:val="00F36648"/>
    <w:rsid w:val="00F47305"/>
    <w:rsid w:val="00F67A43"/>
    <w:rsid w:val="00F74492"/>
    <w:rsid w:val="00F76311"/>
    <w:rsid w:val="00F94687"/>
    <w:rsid w:val="00FA25FD"/>
    <w:rsid w:val="00FC0876"/>
    <w:rsid w:val="00FD02C4"/>
    <w:rsid w:val="00FD1DF7"/>
    <w:rsid w:val="00FD5465"/>
    <w:rsid w:val="00FD7C11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5353"/>
  <w15:chartTrackingRefBased/>
  <w15:docId w15:val="{0CE6C7BF-E869-40C5-8BA4-AE4CE7FB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732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D17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17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D17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17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17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17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17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17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17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1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D1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D1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17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17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17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17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17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17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1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17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1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173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D17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1732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7D17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1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17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173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D17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qjehv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qjehv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André</dc:creator>
  <cp:keywords/>
  <dc:description/>
  <cp:lastModifiedBy>Vincent André</cp:lastModifiedBy>
  <cp:revision>7</cp:revision>
  <dcterms:created xsi:type="dcterms:W3CDTF">2026-03-14T15:47:00Z</dcterms:created>
  <dcterms:modified xsi:type="dcterms:W3CDTF">2026-04-08T15:28:00Z</dcterms:modified>
</cp:coreProperties>
</file>